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BD5" w:rsidRDefault="003C4BD5">
      <w:pPr>
        <w:spacing w:line="640" w:lineRule="exact"/>
        <w:rPr>
          <w:rFonts w:ascii="仿宋_GB2312" w:eastAsia="仿宋_GB2312"/>
          <w:sz w:val="32"/>
          <w:szCs w:val="32"/>
        </w:rPr>
      </w:pPr>
    </w:p>
    <w:tbl>
      <w:tblPr>
        <w:tblW w:w="9065" w:type="dxa"/>
        <w:jc w:val="center"/>
        <w:tblLayout w:type="fixed"/>
        <w:tblLook w:val="04A0" w:firstRow="1" w:lastRow="0" w:firstColumn="1" w:lastColumn="0" w:noHBand="0" w:noVBand="1"/>
      </w:tblPr>
      <w:tblGrid>
        <w:gridCol w:w="578"/>
        <w:gridCol w:w="966"/>
        <w:gridCol w:w="1089"/>
        <w:gridCol w:w="451"/>
        <w:gridCol w:w="1360"/>
        <w:gridCol w:w="1140"/>
        <w:gridCol w:w="990"/>
        <w:gridCol w:w="527"/>
        <w:gridCol w:w="533"/>
        <w:gridCol w:w="100"/>
        <w:gridCol w:w="736"/>
        <w:gridCol w:w="595"/>
      </w:tblGrid>
      <w:tr w:rsidR="003C4BD5">
        <w:trPr>
          <w:trHeight w:hRule="exact" w:val="440"/>
          <w:jc w:val="center"/>
        </w:trPr>
        <w:tc>
          <w:tcPr>
            <w:tcW w:w="9065" w:type="dxa"/>
            <w:gridSpan w:val="12"/>
            <w:tcBorders>
              <w:top w:val="nil"/>
              <w:left w:val="nil"/>
              <w:bottom w:val="nil"/>
              <w:right w:val="nil"/>
            </w:tcBorders>
            <w:vAlign w:val="center"/>
          </w:tcPr>
          <w:p w:rsidR="003C4BD5" w:rsidRDefault="000E502B">
            <w:pPr>
              <w:widowControl/>
              <w:spacing w:line="320" w:lineRule="exact"/>
              <w:jc w:val="center"/>
              <w:rPr>
                <w:rFonts w:ascii="宋体" w:hAnsi="宋体" w:cs="宋体"/>
                <w:b/>
                <w:bCs/>
                <w:kern w:val="0"/>
                <w:sz w:val="32"/>
                <w:szCs w:val="32"/>
              </w:rPr>
            </w:pPr>
            <w:r>
              <w:rPr>
                <w:rFonts w:ascii="宋体" w:hAnsi="宋体" w:cs="宋体" w:hint="eastAsia"/>
                <w:b/>
                <w:bCs/>
                <w:kern w:val="0"/>
                <w:sz w:val="32"/>
                <w:szCs w:val="32"/>
              </w:rPr>
              <w:t>项目支出绩效自评表</w:t>
            </w:r>
          </w:p>
        </w:tc>
      </w:tr>
      <w:tr w:rsidR="003C4BD5">
        <w:trPr>
          <w:trHeight w:val="194"/>
          <w:jc w:val="center"/>
        </w:trPr>
        <w:tc>
          <w:tcPr>
            <w:tcW w:w="9065" w:type="dxa"/>
            <w:gridSpan w:val="12"/>
            <w:tcBorders>
              <w:top w:val="nil"/>
              <w:left w:val="nil"/>
              <w:bottom w:val="nil"/>
              <w:right w:val="nil"/>
            </w:tcBorders>
          </w:tcPr>
          <w:p w:rsidR="003C4BD5" w:rsidRDefault="000E502B">
            <w:pPr>
              <w:widowControl/>
              <w:jc w:val="center"/>
              <w:rPr>
                <w:rFonts w:ascii="宋体" w:hAnsi="宋体" w:cs="宋体"/>
                <w:kern w:val="0"/>
                <w:sz w:val="22"/>
              </w:rPr>
            </w:pPr>
            <w:r>
              <w:rPr>
                <w:rFonts w:ascii="宋体" w:hAnsi="宋体" w:cs="宋体" w:hint="eastAsia"/>
                <w:kern w:val="0"/>
                <w:sz w:val="22"/>
              </w:rPr>
              <w:t>（</w:t>
            </w:r>
            <w:r>
              <w:rPr>
                <w:rFonts w:ascii="宋体" w:hAnsi="宋体" w:cs="宋体" w:hint="eastAsia"/>
                <w:kern w:val="0"/>
                <w:sz w:val="22"/>
              </w:rPr>
              <w:t>2022</w:t>
            </w:r>
            <w:r>
              <w:rPr>
                <w:rFonts w:ascii="宋体" w:hAnsi="宋体" w:cs="宋体" w:hint="eastAsia"/>
                <w:kern w:val="0"/>
                <w:sz w:val="22"/>
              </w:rPr>
              <w:t>年度）</w:t>
            </w:r>
          </w:p>
        </w:tc>
      </w:tr>
      <w:tr w:rsidR="003C4BD5">
        <w:trPr>
          <w:trHeight w:hRule="exact" w:val="291"/>
          <w:jc w:val="center"/>
        </w:trPr>
        <w:tc>
          <w:tcPr>
            <w:tcW w:w="1544" w:type="dxa"/>
            <w:gridSpan w:val="2"/>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521" w:type="dxa"/>
            <w:gridSpan w:val="10"/>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信息系统</w:t>
            </w:r>
            <w:proofErr w:type="gramStart"/>
            <w:r>
              <w:rPr>
                <w:rFonts w:ascii="宋体" w:hAnsi="宋体" w:cs="宋体" w:hint="eastAsia"/>
                <w:kern w:val="0"/>
                <w:sz w:val="18"/>
                <w:szCs w:val="18"/>
              </w:rPr>
              <w:t>运维类项目</w:t>
            </w:r>
            <w:proofErr w:type="gramEnd"/>
          </w:p>
        </w:tc>
      </w:tr>
      <w:tr w:rsidR="003C4BD5">
        <w:trPr>
          <w:trHeight w:hRule="exact" w:val="299"/>
          <w:jc w:val="center"/>
        </w:trPr>
        <w:tc>
          <w:tcPr>
            <w:tcW w:w="1544" w:type="dxa"/>
            <w:gridSpan w:val="2"/>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0" w:type="dxa"/>
            <w:gridSpan w:val="4"/>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北京体育彩票管理中心</w:t>
            </w:r>
          </w:p>
        </w:tc>
        <w:tc>
          <w:tcPr>
            <w:tcW w:w="1517"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1964" w:type="dxa"/>
            <w:gridSpan w:val="4"/>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北京体育彩票管理中心</w:t>
            </w:r>
          </w:p>
        </w:tc>
      </w:tr>
      <w:tr w:rsidR="003C4BD5">
        <w:trPr>
          <w:trHeight w:hRule="exact" w:val="291"/>
          <w:jc w:val="center"/>
        </w:trPr>
        <w:tc>
          <w:tcPr>
            <w:tcW w:w="1544" w:type="dxa"/>
            <w:gridSpan w:val="2"/>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0" w:type="dxa"/>
            <w:gridSpan w:val="4"/>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潘毅春</w:t>
            </w:r>
          </w:p>
        </w:tc>
        <w:tc>
          <w:tcPr>
            <w:tcW w:w="1517"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1964" w:type="dxa"/>
            <w:gridSpan w:val="4"/>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r>
              <w:rPr>
                <w:rFonts w:ascii="宋体" w:hAnsi="宋体" w:cs="宋体"/>
                <w:kern w:val="0"/>
                <w:sz w:val="18"/>
                <w:szCs w:val="18"/>
              </w:rPr>
              <w:t>3199707</w:t>
            </w:r>
          </w:p>
        </w:tc>
      </w:tr>
      <w:tr w:rsidR="003C4BD5">
        <w:trPr>
          <w:trHeight w:hRule="exact" w:val="571"/>
          <w:jc w:val="center"/>
        </w:trPr>
        <w:tc>
          <w:tcPr>
            <w:tcW w:w="1544" w:type="dxa"/>
            <w:gridSpan w:val="2"/>
            <w:vMerge w:val="restart"/>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（万元）</w:t>
            </w:r>
          </w:p>
        </w:tc>
        <w:tc>
          <w:tcPr>
            <w:tcW w:w="1540"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36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517"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533"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595"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3C4BD5">
        <w:trPr>
          <w:trHeight w:hRule="exact" w:val="291"/>
          <w:jc w:val="center"/>
        </w:trPr>
        <w:tc>
          <w:tcPr>
            <w:tcW w:w="1544" w:type="dxa"/>
            <w:gridSpan w:val="2"/>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540"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36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w:t>
            </w:r>
            <w:r>
              <w:rPr>
                <w:rFonts w:ascii="Arial Narrow" w:hAnsi="Arial Narrow" w:cs="Arial Narrow" w:hint="eastAsia"/>
                <w:kern w:val="0"/>
                <w:sz w:val="18"/>
                <w:szCs w:val="18"/>
              </w:rPr>
              <w:t>,</w:t>
            </w:r>
            <w:r>
              <w:rPr>
                <w:rFonts w:ascii="Arial Narrow" w:hAnsi="Arial Narrow" w:cs="Arial Narrow"/>
                <w:kern w:val="0"/>
                <w:sz w:val="18"/>
                <w:szCs w:val="18"/>
              </w:rPr>
              <w:t>403</w:t>
            </w:r>
            <w:r>
              <w:rPr>
                <w:rFonts w:ascii="Arial Narrow" w:hAnsi="Arial Narrow" w:cs="Arial Narrow" w:hint="eastAsia"/>
                <w:kern w:val="0"/>
                <w:sz w:val="18"/>
                <w:szCs w:val="18"/>
              </w:rPr>
              <w:t>.</w:t>
            </w:r>
            <w:r>
              <w:rPr>
                <w:rFonts w:ascii="Arial Narrow" w:hAnsi="Arial Narrow" w:cs="Arial Narrow"/>
                <w:kern w:val="0"/>
                <w:sz w:val="18"/>
                <w:szCs w:val="18"/>
              </w:rPr>
              <w:t>412500</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w:t>
            </w:r>
            <w:r>
              <w:rPr>
                <w:rFonts w:ascii="Arial Narrow" w:hAnsi="Arial Narrow" w:cs="Arial Narrow" w:hint="eastAsia"/>
                <w:kern w:val="0"/>
                <w:sz w:val="18"/>
                <w:szCs w:val="18"/>
              </w:rPr>
              <w:t>,</w:t>
            </w:r>
            <w:r>
              <w:rPr>
                <w:rFonts w:ascii="Arial Narrow" w:hAnsi="Arial Narrow" w:cs="Arial Narrow"/>
                <w:kern w:val="0"/>
                <w:sz w:val="18"/>
                <w:szCs w:val="18"/>
              </w:rPr>
              <w:t>403</w:t>
            </w:r>
            <w:r>
              <w:rPr>
                <w:rFonts w:ascii="Arial Narrow" w:hAnsi="Arial Narrow" w:cs="Arial Narrow" w:hint="eastAsia"/>
                <w:kern w:val="0"/>
                <w:sz w:val="18"/>
                <w:szCs w:val="18"/>
              </w:rPr>
              <w:t>.</w:t>
            </w:r>
            <w:r>
              <w:rPr>
                <w:rFonts w:ascii="Arial Narrow" w:hAnsi="Arial Narrow" w:cs="Arial Narrow"/>
                <w:kern w:val="0"/>
                <w:sz w:val="18"/>
                <w:szCs w:val="18"/>
              </w:rPr>
              <w:t>412500</w:t>
            </w:r>
          </w:p>
        </w:tc>
        <w:tc>
          <w:tcPr>
            <w:tcW w:w="1517"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w:t>
            </w:r>
            <w:r>
              <w:rPr>
                <w:rFonts w:ascii="Arial Narrow" w:hAnsi="Arial Narrow" w:cs="Arial Narrow" w:hint="eastAsia"/>
                <w:kern w:val="0"/>
                <w:sz w:val="18"/>
                <w:szCs w:val="18"/>
              </w:rPr>
              <w:t>,</w:t>
            </w:r>
            <w:r>
              <w:rPr>
                <w:rFonts w:ascii="Arial Narrow" w:hAnsi="Arial Narrow" w:cs="Arial Narrow"/>
                <w:kern w:val="0"/>
                <w:sz w:val="18"/>
                <w:szCs w:val="18"/>
              </w:rPr>
              <w:t>258</w:t>
            </w:r>
            <w:r>
              <w:rPr>
                <w:rFonts w:ascii="Arial Narrow" w:hAnsi="Arial Narrow" w:cs="Arial Narrow" w:hint="eastAsia"/>
                <w:kern w:val="0"/>
                <w:sz w:val="18"/>
                <w:szCs w:val="18"/>
              </w:rPr>
              <w:t>.</w:t>
            </w:r>
            <w:r>
              <w:rPr>
                <w:rFonts w:ascii="Arial Narrow" w:hAnsi="Arial Narrow" w:cs="Arial Narrow"/>
                <w:kern w:val="0"/>
                <w:sz w:val="18"/>
                <w:szCs w:val="18"/>
              </w:rPr>
              <w:t>705607</w:t>
            </w:r>
          </w:p>
        </w:tc>
        <w:tc>
          <w:tcPr>
            <w:tcW w:w="533"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89.</w:t>
            </w:r>
            <w:r>
              <w:rPr>
                <w:rFonts w:ascii="Arial Narrow" w:hAnsi="Arial Narrow" w:cs="Arial Narrow" w:hint="eastAsia"/>
                <w:kern w:val="0"/>
                <w:sz w:val="18"/>
                <w:szCs w:val="18"/>
              </w:rPr>
              <w:t>7</w:t>
            </w:r>
            <w:r>
              <w:rPr>
                <w:rFonts w:ascii="Arial Narrow" w:hAnsi="Arial Narrow" w:cs="Arial Narrow"/>
                <w:kern w:val="0"/>
                <w:sz w:val="18"/>
                <w:szCs w:val="18"/>
              </w:rPr>
              <w:t>%</w:t>
            </w:r>
          </w:p>
        </w:tc>
        <w:tc>
          <w:tcPr>
            <w:tcW w:w="595"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hint="eastAsia"/>
                <w:kern w:val="0"/>
                <w:sz w:val="18"/>
                <w:szCs w:val="18"/>
              </w:rPr>
              <w:t>9.0</w:t>
            </w:r>
          </w:p>
        </w:tc>
      </w:tr>
      <w:tr w:rsidR="003C4BD5">
        <w:trPr>
          <w:trHeight w:hRule="exact" w:val="491"/>
          <w:jc w:val="center"/>
        </w:trPr>
        <w:tc>
          <w:tcPr>
            <w:tcW w:w="1544" w:type="dxa"/>
            <w:gridSpan w:val="2"/>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540"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36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w:t>
            </w:r>
            <w:r>
              <w:rPr>
                <w:rFonts w:ascii="Arial Narrow" w:hAnsi="Arial Narrow" w:cs="Arial Narrow" w:hint="eastAsia"/>
                <w:kern w:val="0"/>
                <w:sz w:val="18"/>
                <w:szCs w:val="18"/>
              </w:rPr>
              <w:t>,</w:t>
            </w:r>
            <w:r>
              <w:rPr>
                <w:rFonts w:ascii="Arial Narrow" w:hAnsi="Arial Narrow" w:cs="Arial Narrow"/>
                <w:kern w:val="0"/>
                <w:sz w:val="18"/>
                <w:szCs w:val="18"/>
              </w:rPr>
              <w:t>403</w:t>
            </w:r>
            <w:r>
              <w:rPr>
                <w:rFonts w:ascii="Arial Narrow" w:hAnsi="Arial Narrow" w:cs="Arial Narrow" w:hint="eastAsia"/>
                <w:kern w:val="0"/>
                <w:sz w:val="18"/>
                <w:szCs w:val="18"/>
              </w:rPr>
              <w:t>.</w:t>
            </w:r>
            <w:r>
              <w:rPr>
                <w:rFonts w:ascii="Arial Narrow" w:hAnsi="Arial Narrow" w:cs="Arial Narrow"/>
                <w:kern w:val="0"/>
                <w:sz w:val="18"/>
                <w:szCs w:val="18"/>
              </w:rPr>
              <w:t>412500</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w:t>
            </w:r>
            <w:r>
              <w:rPr>
                <w:rFonts w:ascii="Arial Narrow" w:hAnsi="Arial Narrow" w:cs="Arial Narrow" w:hint="eastAsia"/>
                <w:kern w:val="0"/>
                <w:sz w:val="18"/>
                <w:szCs w:val="18"/>
              </w:rPr>
              <w:t>,</w:t>
            </w:r>
            <w:r>
              <w:rPr>
                <w:rFonts w:ascii="Arial Narrow" w:hAnsi="Arial Narrow" w:cs="Arial Narrow"/>
                <w:kern w:val="0"/>
                <w:sz w:val="18"/>
                <w:szCs w:val="18"/>
              </w:rPr>
              <w:t>403</w:t>
            </w:r>
            <w:r>
              <w:rPr>
                <w:rFonts w:ascii="Arial Narrow" w:hAnsi="Arial Narrow" w:cs="Arial Narrow" w:hint="eastAsia"/>
                <w:kern w:val="0"/>
                <w:sz w:val="18"/>
                <w:szCs w:val="18"/>
              </w:rPr>
              <w:t>.</w:t>
            </w:r>
            <w:r>
              <w:rPr>
                <w:rFonts w:ascii="Arial Narrow" w:hAnsi="Arial Narrow" w:cs="Arial Narrow"/>
                <w:kern w:val="0"/>
                <w:sz w:val="18"/>
                <w:szCs w:val="18"/>
              </w:rPr>
              <w:t>412500</w:t>
            </w:r>
          </w:p>
        </w:tc>
        <w:tc>
          <w:tcPr>
            <w:tcW w:w="1517"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1</w:t>
            </w:r>
            <w:r>
              <w:rPr>
                <w:rFonts w:ascii="Arial Narrow" w:hAnsi="Arial Narrow" w:cs="Arial Narrow" w:hint="eastAsia"/>
                <w:kern w:val="0"/>
                <w:sz w:val="18"/>
                <w:szCs w:val="18"/>
              </w:rPr>
              <w:t>,</w:t>
            </w:r>
            <w:r>
              <w:rPr>
                <w:rFonts w:ascii="Arial Narrow" w:hAnsi="Arial Narrow" w:cs="Arial Narrow"/>
                <w:kern w:val="0"/>
                <w:sz w:val="18"/>
                <w:szCs w:val="18"/>
              </w:rPr>
              <w:t>258</w:t>
            </w:r>
            <w:r>
              <w:rPr>
                <w:rFonts w:ascii="Arial Narrow" w:hAnsi="Arial Narrow" w:cs="Arial Narrow" w:hint="eastAsia"/>
                <w:kern w:val="0"/>
                <w:sz w:val="18"/>
                <w:szCs w:val="18"/>
              </w:rPr>
              <w:t>.</w:t>
            </w:r>
            <w:r>
              <w:rPr>
                <w:rFonts w:ascii="Arial Narrow" w:hAnsi="Arial Narrow" w:cs="Arial Narrow"/>
                <w:kern w:val="0"/>
                <w:sz w:val="18"/>
                <w:szCs w:val="18"/>
              </w:rPr>
              <w:t>705607</w:t>
            </w:r>
          </w:p>
        </w:tc>
        <w:tc>
          <w:tcPr>
            <w:tcW w:w="533"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89.</w:t>
            </w:r>
            <w:r>
              <w:rPr>
                <w:rFonts w:ascii="Arial Narrow" w:hAnsi="Arial Narrow" w:cs="Arial Narrow" w:hint="eastAsia"/>
                <w:kern w:val="0"/>
                <w:sz w:val="18"/>
                <w:szCs w:val="18"/>
              </w:rPr>
              <w:t>7</w:t>
            </w:r>
            <w:r>
              <w:rPr>
                <w:rFonts w:ascii="Arial Narrow" w:hAnsi="Arial Narrow" w:cs="Arial Narrow"/>
                <w:kern w:val="0"/>
                <w:sz w:val="18"/>
                <w:szCs w:val="18"/>
              </w:rPr>
              <w:t>%</w:t>
            </w:r>
          </w:p>
        </w:tc>
        <w:tc>
          <w:tcPr>
            <w:tcW w:w="595"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Arial Narrow" w:hAnsi="Arial Narrow" w:cs="Arial Narrow"/>
                <w:kern w:val="0"/>
                <w:sz w:val="18"/>
                <w:szCs w:val="18"/>
              </w:rPr>
            </w:pPr>
            <w:r>
              <w:rPr>
                <w:rFonts w:ascii="Arial Narrow" w:hAnsi="Arial Narrow" w:cs="Arial Narrow"/>
                <w:kern w:val="0"/>
                <w:sz w:val="18"/>
                <w:szCs w:val="18"/>
              </w:rPr>
              <w:t>—</w:t>
            </w:r>
          </w:p>
        </w:tc>
      </w:tr>
      <w:tr w:rsidR="003C4BD5">
        <w:trPr>
          <w:trHeight w:hRule="exact" w:val="531"/>
          <w:jc w:val="center"/>
        </w:trPr>
        <w:tc>
          <w:tcPr>
            <w:tcW w:w="1544" w:type="dxa"/>
            <w:gridSpan w:val="2"/>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540"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上年结转资金</w:t>
            </w:r>
          </w:p>
        </w:tc>
        <w:tc>
          <w:tcPr>
            <w:tcW w:w="1360" w:type="dxa"/>
            <w:tcBorders>
              <w:top w:val="nil"/>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140" w:type="dxa"/>
            <w:tcBorders>
              <w:top w:val="nil"/>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517" w:type="dxa"/>
            <w:gridSpan w:val="2"/>
            <w:tcBorders>
              <w:top w:val="nil"/>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533"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595"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C4BD5">
        <w:trPr>
          <w:trHeight w:hRule="exact" w:val="291"/>
          <w:jc w:val="center"/>
        </w:trPr>
        <w:tc>
          <w:tcPr>
            <w:tcW w:w="1544" w:type="dxa"/>
            <w:gridSpan w:val="2"/>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540"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其他资金</w:t>
            </w:r>
          </w:p>
        </w:tc>
        <w:tc>
          <w:tcPr>
            <w:tcW w:w="1360" w:type="dxa"/>
            <w:tcBorders>
              <w:top w:val="nil"/>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140" w:type="dxa"/>
            <w:tcBorders>
              <w:top w:val="nil"/>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517" w:type="dxa"/>
            <w:gridSpan w:val="2"/>
            <w:tcBorders>
              <w:top w:val="nil"/>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533"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595"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3C4BD5">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6" w:type="dxa"/>
            <w:gridSpan w:val="5"/>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481" w:type="dxa"/>
            <w:gridSpan w:val="6"/>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3C4BD5">
        <w:trPr>
          <w:trHeight w:hRule="exact" w:val="3002"/>
          <w:jc w:val="center"/>
        </w:trPr>
        <w:tc>
          <w:tcPr>
            <w:tcW w:w="578" w:type="dxa"/>
            <w:vMerge/>
            <w:tcBorders>
              <w:top w:val="nil"/>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5006" w:type="dxa"/>
            <w:gridSpan w:val="5"/>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left"/>
              <w:rPr>
                <w:rFonts w:ascii="宋体" w:hAnsi="宋体" w:cs="宋体"/>
                <w:kern w:val="0"/>
                <w:sz w:val="18"/>
                <w:szCs w:val="18"/>
              </w:rPr>
            </w:pPr>
            <w:r>
              <w:rPr>
                <w:rFonts w:ascii="宋体" w:hAnsi="宋体" w:cs="宋体" w:hint="eastAsia"/>
                <w:kern w:val="0"/>
                <w:sz w:val="18"/>
                <w:szCs w:val="18"/>
              </w:rPr>
              <w:t>北京市体育彩票管理中心作为销售机构承担了北京市地区彩票销售及管理工作，同时由于我中心同时承载区域联网单场竞猜游戏（以下</w:t>
            </w:r>
            <w:proofErr w:type="gramStart"/>
            <w:r>
              <w:rPr>
                <w:rFonts w:ascii="宋体" w:hAnsi="宋体" w:cs="宋体" w:hint="eastAsia"/>
                <w:kern w:val="0"/>
                <w:sz w:val="18"/>
                <w:szCs w:val="18"/>
              </w:rPr>
              <w:t>简称北单游戏</w:t>
            </w:r>
            <w:proofErr w:type="gramEnd"/>
            <w:r>
              <w:rPr>
                <w:rFonts w:ascii="宋体" w:hAnsi="宋体" w:cs="宋体" w:hint="eastAsia"/>
                <w:kern w:val="0"/>
                <w:sz w:val="18"/>
                <w:szCs w:val="18"/>
              </w:rPr>
              <w:t>）的建设和管理工作，依据《彩票管理条例》、《彩票发行销售管理办法》等规定，北京体</w:t>
            </w:r>
            <w:proofErr w:type="gramStart"/>
            <w:r>
              <w:rPr>
                <w:rFonts w:ascii="宋体" w:hAnsi="宋体" w:cs="宋体" w:hint="eastAsia"/>
                <w:kern w:val="0"/>
                <w:sz w:val="18"/>
                <w:szCs w:val="18"/>
              </w:rPr>
              <w:t>彩数据</w:t>
            </w:r>
            <w:proofErr w:type="gramEnd"/>
            <w:r>
              <w:rPr>
                <w:rFonts w:ascii="宋体" w:hAnsi="宋体" w:cs="宋体" w:hint="eastAsia"/>
                <w:kern w:val="0"/>
                <w:sz w:val="18"/>
                <w:szCs w:val="18"/>
              </w:rPr>
              <w:t>机房、办公运营系统</w:t>
            </w:r>
            <w:proofErr w:type="gramStart"/>
            <w:r>
              <w:rPr>
                <w:rFonts w:ascii="宋体" w:hAnsi="宋体" w:cs="宋体" w:hint="eastAsia"/>
                <w:kern w:val="0"/>
                <w:sz w:val="18"/>
                <w:szCs w:val="18"/>
              </w:rPr>
              <w:t>和北单游戏</w:t>
            </w:r>
            <w:proofErr w:type="gramEnd"/>
            <w:r>
              <w:rPr>
                <w:rFonts w:ascii="宋体" w:hAnsi="宋体" w:cs="宋体" w:hint="eastAsia"/>
                <w:kern w:val="0"/>
                <w:sz w:val="18"/>
                <w:szCs w:val="18"/>
              </w:rPr>
              <w:t>系统的建设和维护工作也成为了我中心的重点工作之一。系统建设维护项目包含了我中心数据机房、中心办公运营系统</w:t>
            </w:r>
            <w:proofErr w:type="gramStart"/>
            <w:r>
              <w:rPr>
                <w:rFonts w:ascii="宋体" w:hAnsi="宋体" w:cs="宋体" w:hint="eastAsia"/>
                <w:kern w:val="0"/>
                <w:sz w:val="18"/>
                <w:szCs w:val="18"/>
              </w:rPr>
              <w:t>和北单游戏</w:t>
            </w:r>
            <w:proofErr w:type="gramEnd"/>
            <w:r>
              <w:rPr>
                <w:rFonts w:ascii="宋体" w:hAnsi="宋体" w:cs="宋体" w:hint="eastAsia"/>
                <w:kern w:val="0"/>
                <w:sz w:val="18"/>
                <w:szCs w:val="18"/>
              </w:rPr>
              <w:t>系统的建设和维护工作，为我市体育彩票销售工作</w:t>
            </w:r>
            <w:proofErr w:type="gramStart"/>
            <w:r>
              <w:rPr>
                <w:rFonts w:ascii="宋体" w:hAnsi="宋体" w:cs="宋体" w:hint="eastAsia"/>
                <w:kern w:val="0"/>
                <w:sz w:val="18"/>
                <w:szCs w:val="18"/>
              </w:rPr>
              <w:t>和北单游戏</w:t>
            </w:r>
            <w:proofErr w:type="gramEnd"/>
            <w:r>
              <w:rPr>
                <w:rFonts w:ascii="宋体" w:hAnsi="宋体" w:cs="宋体" w:hint="eastAsia"/>
                <w:kern w:val="0"/>
                <w:sz w:val="18"/>
                <w:szCs w:val="18"/>
              </w:rPr>
              <w:t>系统的正常运行提供了技术保障，因此须对彩票交易系统设备、机房基础设施进行维护工作，保障生产系统正常运</w:t>
            </w:r>
            <w:r>
              <w:rPr>
                <w:rFonts w:ascii="宋体" w:hAnsi="宋体" w:cs="宋体" w:hint="eastAsia"/>
                <w:kern w:val="0"/>
                <w:sz w:val="18"/>
                <w:szCs w:val="18"/>
              </w:rPr>
              <w:t>转，通过采购北京单场游戏系统维护支持</w:t>
            </w:r>
            <w:proofErr w:type="gramStart"/>
            <w:r>
              <w:rPr>
                <w:rFonts w:ascii="宋体" w:hAnsi="宋体" w:cs="宋体" w:hint="eastAsia"/>
                <w:kern w:val="0"/>
                <w:sz w:val="18"/>
                <w:szCs w:val="18"/>
              </w:rPr>
              <w:t>及灾备服务</w:t>
            </w:r>
            <w:proofErr w:type="gramEnd"/>
            <w:r>
              <w:rPr>
                <w:rFonts w:ascii="宋体" w:hAnsi="宋体" w:cs="宋体" w:hint="eastAsia"/>
                <w:kern w:val="0"/>
                <w:sz w:val="18"/>
                <w:szCs w:val="18"/>
              </w:rPr>
              <w:t>，</w:t>
            </w:r>
            <w:proofErr w:type="gramStart"/>
            <w:r>
              <w:rPr>
                <w:rFonts w:ascii="宋体" w:hAnsi="宋体" w:cs="宋体" w:hint="eastAsia"/>
                <w:kern w:val="0"/>
                <w:sz w:val="18"/>
                <w:szCs w:val="18"/>
              </w:rPr>
              <w:t>保障北单游戏</w:t>
            </w:r>
            <w:proofErr w:type="gramEnd"/>
            <w:r>
              <w:rPr>
                <w:rFonts w:ascii="宋体" w:hAnsi="宋体" w:cs="宋体" w:hint="eastAsia"/>
                <w:kern w:val="0"/>
                <w:sz w:val="18"/>
                <w:szCs w:val="18"/>
              </w:rPr>
              <w:t>系统的正常运行。</w:t>
            </w:r>
          </w:p>
        </w:tc>
        <w:tc>
          <w:tcPr>
            <w:tcW w:w="3481" w:type="dxa"/>
            <w:gridSpan w:val="6"/>
            <w:tcBorders>
              <w:top w:val="single" w:sz="4" w:space="0" w:color="auto"/>
              <w:left w:val="nil"/>
              <w:bottom w:val="single" w:sz="4" w:space="0" w:color="auto"/>
              <w:right w:val="single" w:sz="4" w:space="0" w:color="auto"/>
            </w:tcBorders>
            <w:vAlign w:val="center"/>
          </w:tcPr>
          <w:p w:rsidR="003C4BD5" w:rsidRDefault="000E502B">
            <w:pPr>
              <w:widowControl/>
              <w:numPr>
                <w:ilvl w:val="0"/>
                <w:numId w:val="1"/>
              </w:numPr>
              <w:spacing w:line="240" w:lineRule="exact"/>
              <w:jc w:val="left"/>
              <w:rPr>
                <w:rFonts w:ascii="宋体" w:hAnsi="宋体" w:cs="宋体"/>
                <w:kern w:val="0"/>
                <w:sz w:val="18"/>
                <w:szCs w:val="18"/>
              </w:rPr>
            </w:pPr>
            <w:r>
              <w:rPr>
                <w:rFonts w:ascii="宋体" w:hAnsi="宋体" w:cs="宋体" w:hint="eastAsia"/>
                <w:kern w:val="0"/>
                <w:sz w:val="18"/>
                <w:szCs w:val="18"/>
              </w:rPr>
              <w:t>依据《彩票管理条例》、《彩票发行销售管理办法》等规定，</w:t>
            </w:r>
            <w:r>
              <w:rPr>
                <w:rFonts w:ascii="宋体" w:hAnsi="宋体" w:cs="宋体" w:hint="eastAsia"/>
                <w:kern w:val="0"/>
                <w:sz w:val="18"/>
                <w:szCs w:val="18"/>
              </w:rPr>
              <w:t>完成了</w:t>
            </w:r>
            <w:r>
              <w:rPr>
                <w:rFonts w:ascii="宋体" w:hAnsi="宋体" w:cs="宋体" w:hint="eastAsia"/>
                <w:kern w:val="0"/>
                <w:sz w:val="18"/>
                <w:szCs w:val="18"/>
              </w:rPr>
              <w:t>中心数据机房、中心办公运营系统</w:t>
            </w:r>
            <w:proofErr w:type="gramStart"/>
            <w:r>
              <w:rPr>
                <w:rFonts w:ascii="宋体" w:hAnsi="宋体" w:cs="宋体" w:hint="eastAsia"/>
                <w:kern w:val="0"/>
                <w:sz w:val="18"/>
                <w:szCs w:val="18"/>
              </w:rPr>
              <w:t>和北单游戏</w:t>
            </w:r>
            <w:proofErr w:type="gramEnd"/>
            <w:r>
              <w:rPr>
                <w:rFonts w:ascii="宋体" w:hAnsi="宋体" w:cs="宋体" w:hint="eastAsia"/>
                <w:kern w:val="0"/>
                <w:sz w:val="18"/>
                <w:szCs w:val="18"/>
              </w:rPr>
              <w:t>系统的建设和维护工作，为</w:t>
            </w:r>
            <w:r>
              <w:rPr>
                <w:rFonts w:ascii="宋体" w:hAnsi="宋体" w:cs="宋体" w:hint="eastAsia"/>
                <w:kern w:val="0"/>
                <w:sz w:val="18"/>
                <w:szCs w:val="18"/>
              </w:rPr>
              <w:t>全</w:t>
            </w:r>
            <w:r>
              <w:rPr>
                <w:rFonts w:ascii="宋体" w:hAnsi="宋体" w:cs="宋体" w:hint="eastAsia"/>
                <w:kern w:val="0"/>
                <w:sz w:val="18"/>
                <w:szCs w:val="18"/>
              </w:rPr>
              <w:t>市体育彩票销售工作</w:t>
            </w:r>
            <w:proofErr w:type="gramStart"/>
            <w:r>
              <w:rPr>
                <w:rFonts w:ascii="宋体" w:hAnsi="宋体" w:cs="宋体" w:hint="eastAsia"/>
                <w:kern w:val="0"/>
                <w:sz w:val="18"/>
                <w:szCs w:val="18"/>
              </w:rPr>
              <w:t>和北单游戏</w:t>
            </w:r>
            <w:proofErr w:type="gramEnd"/>
            <w:r>
              <w:rPr>
                <w:rFonts w:ascii="宋体" w:hAnsi="宋体" w:cs="宋体" w:hint="eastAsia"/>
                <w:kern w:val="0"/>
                <w:sz w:val="18"/>
                <w:szCs w:val="18"/>
              </w:rPr>
              <w:t>系统的正常运行提供了技术保障</w:t>
            </w:r>
            <w:r>
              <w:rPr>
                <w:rFonts w:ascii="宋体" w:hAnsi="宋体" w:cs="宋体" w:hint="eastAsia"/>
                <w:kern w:val="0"/>
                <w:sz w:val="18"/>
                <w:szCs w:val="18"/>
              </w:rPr>
              <w:t>；</w:t>
            </w:r>
          </w:p>
          <w:p w:rsidR="003C4BD5" w:rsidRDefault="000E502B">
            <w:pPr>
              <w:widowControl/>
              <w:numPr>
                <w:ilvl w:val="0"/>
                <w:numId w:val="1"/>
              </w:numPr>
              <w:spacing w:line="240" w:lineRule="exact"/>
              <w:jc w:val="left"/>
              <w:rPr>
                <w:rFonts w:ascii="宋体" w:hAnsi="宋体" w:cs="宋体"/>
                <w:kern w:val="0"/>
                <w:sz w:val="18"/>
                <w:szCs w:val="18"/>
              </w:rPr>
            </w:pPr>
            <w:r>
              <w:rPr>
                <w:rFonts w:ascii="宋体" w:hAnsi="宋体" w:cs="宋体" w:hint="eastAsia"/>
                <w:kern w:val="0"/>
                <w:sz w:val="18"/>
                <w:szCs w:val="18"/>
              </w:rPr>
              <w:t>通过采购北京单场游戏系统维护支持</w:t>
            </w:r>
            <w:proofErr w:type="gramStart"/>
            <w:r>
              <w:rPr>
                <w:rFonts w:ascii="宋体" w:hAnsi="宋体" w:cs="宋体" w:hint="eastAsia"/>
                <w:kern w:val="0"/>
                <w:sz w:val="18"/>
                <w:szCs w:val="18"/>
              </w:rPr>
              <w:t>及灾备服务</w:t>
            </w:r>
            <w:proofErr w:type="gramEnd"/>
            <w:r>
              <w:rPr>
                <w:rFonts w:ascii="宋体" w:hAnsi="宋体" w:cs="宋体" w:hint="eastAsia"/>
                <w:kern w:val="0"/>
                <w:sz w:val="18"/>
                <w:szCs w:val="18"/>
              </w:rPr>
              <w:t>，</w:t>
            </w:r>
            <w:proofErr w:type="gramStart"/>
            <w:r>
              <w:rPr>
                <w:rFonts w:ascii="宋体" w:hAnsi="宋体" w:cs="宋体" w:hint="eastAsia"/>
                <w:kern w:val="0"/>
                <w:sz w:val="18"/>
                <w:szCs w:val="18"/>
              </w:rPr>
              <w:t>保障北单游戏</w:t>
            </w:r>
            <w:proofErr w:type="gramEnd"/>
            <w:r>
              <w:rPr>
                <w:rFonts w:ascii="宋体" w:hAnsi="宋体" w:cs="宋体" w:hint="eastAsia"/>
                <w:kern w:val="0"/>
                <w:sz w:val="18"/>
                <w:szCs w:val="18"/>
              </w:rPr>
              <w:t>系统的正常运行。</w:t>
            </w:r>
          </w:p>
        </w:tc>
      </w:tr>
      <w:tr w:rsidR="003C4BD5">
        <w:trPr>
          <w:trHeight w:hRule="exact" w:val="517"/>
          <w:jc w:val="center"/>
        </w:trPr>
        <w:tc>
          <w:tcPr>
            <w:tcW w:w="578" w:type="dxa"/>
            <w:vMerge w:val="restart"/>
            <w:tcBorders>
              <w:top w:val="nil"/>
              <w:left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绩</w:t>
            </w:r>
            <w:proofErr w:type="gramEnd"/>
          </w:p>
          <w:p w:rsidR="003C4BD5" w:rsidRDefault="000E502B">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效</w:t>
            </w:r>
            <w:proofErr w:type="gramEnd"/>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指</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标</w:t>
            </w:r>
          </w:p>
        </w:tc>
        <w:tc>
          <w:tcPr>
            <w:tcW w:w="966"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89"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3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val="restart"/>
            <w:tcBorders>
              <w:top w:val="nil"/>
              <w:left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50</w:t>
            </w:r>
            <w:r>
              <w:rPr>
                <w:rFonts w:ascii="宋体" w:hAnsi="宋体" w:cs="宋体" w:hint="eastAsia"/>
                <w:kern w:val="0"/>
                <w:sz w:val="18"/>
                <w:szCs w:val="18"/>
              </w:rPr>
              <w:t>分）</w:t>
            </w:r>
          </w:p>
        </w:tc>
        <w:tc>
          <w:tcPr>
            <w:tcW w:w="1089" w:type="dxa"/>
            <w:vMerge w:val="restart"/>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不间断电源</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机房监控服务</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配电</w:t>
            </w:r>
            <w:proofErr w:type="gramStart"/>
            <w:r>
              <w:rPr>
                <w:rFonts w:hint="eastAsia"/>
                <w:color w:val="000000"/>
                <w:sz w:val="18"/>
                <w:szCs w:val="18"/>
              </w:rPr>
              <w:t>室维护</w:t>
            </w:r>
            <w:proofErr w:type="gramEnd"/>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w:t>
            </w:r>
            <w:proofErr w:type="gramStart"/>
            <w:r>
              <w:rPr>
                <w:rFonts w:hint="eastAsia"/>
                <w:color w:val="000000"/>
                <w:sz w:val="18"/>
                <w:szCs w:val="18"/>
              </w:rPr>
              <w:t>系统灾备运</w:t>
            </w:r>
            <w:proofErr w:type="gramEnd"/>
            <w:r>
              <w:rPr>
                <w:rFonts w:hint="eastAsia"/>
                <w:color w:val="000000"/>
                <w:sz w:val="18"/>
                <w:szCs w:val="18"/>
              </w:rPr>
              <w:t>维服务</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办公楼监控系统</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办公机房空调</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生产系统性能监测设备</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台</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台</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生产系统故障分析设备</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台</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台</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北京单场及游戏系统维护支持服务</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w:t>
            </w:r>
            <w:proofErr w:type="gramStart"/>
            <w:r>
              <w:rPr>
                <w:rFonts w:hint="eastAsia"/>
                <w:color w:val="000000"/>
                <w:sz w:val="18"/>
                <w:szCs w:val="18"/>
              </w:rPr>
              <w:t>系统灾备机房</w:t>
            </w:r>
            <w:proofErr w:type="gramEnd"/>
            <w:r>
              <w:rPr>
                <w:rFonts w:hint="eastAsia"/>
                <w:color w:val="000000"/>
                <w:sz w:val="18"/>
                <w:szCs w:val="18"/>
              </w:rPr>
              <w:t>服务</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项</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val="restart"/>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北京单场系统设备巡检完成率</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100%</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100%</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机房监控服务</w:t>
            </w:r>
          </w:p>
        </w:tc>
        <w:tc>
          <w:tcPr>
            <w:tcW w:w="1140" w:type="dxa"/>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年</w:t>
            </w:r>
          </w:p>
        </w:tc>
        <w:tc>
          <w:tcPr>
            <w:tcW w:w="990"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年</w:t>
            </w:r>
          </w:p>
        </w:tc>
        <w:tc>
          <w:tcPr>
            <w:tcW w:w="527"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w:t>
            </w:r>
          </w:p>
        </w:tc>
        <w:tc>
          <w:tcPr>
            <w:tcW w:w="633"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proofErr w:type="gramStart"/>
            <w:r>
              <w:rPr>
                <w:rFonts w:hint="eastAsia"/>
                <w:color w:val="000000"/>
                <w:sz w:val="18"/>
                <w:szCs w:val="18"/>
              </w:rPr>
              <w:t>灾备机房</w:t>
            </w:r>
            <w:proofErr w:type="gramEnd"/>
            <w:r>
              <w:rPr>
                <w:rFonts w:hint="eastAsia"/>
                <w:color w:val="000000"/>
                <w:sz w:val="18"/>
                <w:szCs w:val="18"/>
              </w:rPr>
              <w:t>数据一致性</w:t>
            </w:r>
          </w:p>
        </w:tc>
        <w:tc>
          <w:tcPr>
            <w:tcW w:w="1140"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100%</w:t>
            </w:r>
          </w:p>
        </w:tc>
        <w:tc>
          <w:tcPr>
            <w:tcW w:w="990"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100%</w:t>
            </w:r>
          </w:p>
        </w:tc>
        <w:tc>
          <w:tcPr>
            <w:tcW w:w="527"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633"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北京单场赛事场次提供</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20000</w:t>
            </w:r>
            <w:r>
              <w:rPr>
                <w:rFonts w:hint="eastAsia"/>
                <w:color w:val="000000"/>
                <w:sz w:val="18"/>
                <w:szCs w:val="18"/>
              </w:rPr>
              <w:t>场次</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36060</w:t>
            </w:r>
            <w:r>
              <w:rPr>
                <w:rFonts w:hint="eastAsia"/>
                <w:color w:val="000000"/>
                <w:sz w:val="18"/>
                <w:szCs w:val="18"/>
              </w:rPr>
              <w:t>场</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highlight w:val="yellow"/>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proofErr w:type="gramStart"/>
            <w:r>
              <w:rPr>
                <w:rFonts w:hint="eastAsia"/>
                <w:color w:val="000000"/>
                <w:sz w:val="18"/>
                <w:szCs w:val="18"/>
              </w:rPr>
              <w:t>灾备机房</w:t>
            </w:r>
            <w:proofErr w:type="gramEnd"/>
            <w:r>
              <w:rPr>
                <w:rFonts w:hint="eastAsia"/>
                <w:color w:val="000000"/>
                <w:sz w:val="18"/>
                <w:szCs w:val="18"/>
              </w:rPr>
              <w:t>运维巡检</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355</w:t>
            </w:r>
            <w:r>
              <w:rPr>
                <w:rFonts w:hint="eastAsia"/>
                <w:color w:val="000000"/>
                <w:sz w:val="18"/>
                <w:szCs w:val="18"/>
              </w:rPr>
              <w:t>天</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353</w:t>
            </w:r>
            <w:r>
              <w:rPr>
                <w:rFonts w:hint="eastAsia"/>
                <w:color w:val="000000"/>
                <w:sz w:val="18"/>
                <w:szCs w:val="18"/>
              </w:rPr>
              <w:t>天</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1.9</w:t>
            </w:r>
          </w:p>
        </w:tc>
        <w:tc>
          <w:tcPr>
            <w:tcW w:w="133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数据库</w:t>
            </w:r>
            <w:proofErr w:type="gramStart"/>
            <w:r>
              <w:rPr>
                <w:rFonts w:hint="eastAsia"/>
                <w:color w:val="000000"/>
                <w:sz w:val="18"/>
                <w:szCs w:val="18"/>
              </w:rPr>
              <w:t>升级备库停机</w:t>
            </w:r>
            <w:proofErr w:type="gramEnd"/>
            <w:r w:rsidR="00211C42">
              <w:rPr>
                <w:rFonts w:hint="eastAsia"/>
                <w:color w:val="000000"/>
                <w:sz w:val="18"/>
                <w:szCs w:val="18"/>
              </w:rPr>
              <w:t>。</w:t>
            </w: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技术服务人员响应时间</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小时</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小时</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proofErr w:type="gramStart"/>
            <w:r>
              <w:rPr>
                <w:rFonts w:hint="eastAsia"/>
                <w:color w:val="000000"/>
                <w:sz w:val="18"/>
                <w:szCs w:val="18"/>
              </w:rPr>
              <w:t>灾备机房</w:t>
            </w:r>
            <w:proofErr w:type="gramEnd"/>
            <w:r>
              <w:rPr>
                <w:rFonts w:hint="eastAsia"/>
                <w:color w:val="000000"/>
                <w:sz w:val="18"/>
                <w:szCs w:val="18"/>
              </w:rPr>
              <w:t>安全运行时间</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年</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rFonts w:hint="eastAsia"/>
                <w:color w:val="000000"/>
                <w:sz w:val="18"/>
                <w:szCs w:val="18"/>
              </w:rPr>
              <w:t>年</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single" w:sz="4" w:space="0" w:color="auto"/>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设备安全运行天数</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360</w:t>
            </w:r>
            <w:r>
              <w:rPr>
                <w:rFonts w:hint="eastAsia"/>
                <w:color w:val="000000"/>
                <w:sz w:val="18"/>
                <w:szCs w:val="18"/>
              </w:rPr>
              <w:t>天</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365</w:t>
            </w:r>
            <w:r>
              <w:rPr>
                <w:rFonts w:hint="eastAsia"/>
                <w:color w:val="000000"/>
                <w:sz w:val="18"/>
                <w:szCs w:val="18"/>
              </w:rPr>
              <w:t>天</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val="restart"/>
            <w:tcBorders>
              <w:top w:val="nil"/>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启动时间</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2022.3</w:t>
            </w:r>
            <w:r>
              <w:rPr>
                <w:rFonts w:hint="eastAsia"/>
                <w:color w:val="000000"/>
                <w:sz w:val="18"/>
                <w:szCs w:val="18"/>
              </w:rPr>
              <w:t>月</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完成预期目标</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nil"/>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开展时间</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2022</w:t>
            </w:r>
            <w:r>
              <w:rPr>
                <w:rFonts w:hint="eastAsia"/>
                <w:color w:val="000000"/>
                <w:sz w:val="18"/>
                <w:szCs w:val="18"/>
              </w:rPr>
              <w:t>年</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2022</w:t>
            </w:r>
            <w:r>
              <w:rPr>
                <w:rFonts w:hint="eastAsia"/>
                <w:color w:val="000000"/>
                <w:sz w:val="18"/>
                <w:szCs w:val="18"/>
              </w:rPr>
              <w:t>年</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val="48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nil"/>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验收时间</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2022.12</w:t>
            </w:r>
            <w:r>
              <w:rPr>
                <w:rFonts w:hint="eastAsia"/>
                <w:color w:val="000000"/>
                <w:sz w:val="18"/>
                <w:szCs w:val="18"/>
              </w:rPr>
              <w:t>月</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2022.12</w:t>
            </w:r>
            <w:r>
              <w:rPr>
                <w:rFonts w:hint="eastAsia"/>
                <w:color w:val="000000"/>
                <w:sz w:val="18"/>
                <w:szCs w:val="18"/>
              </w:rPr>
              <w:t>月</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651"/>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val="restart"/>
            <w:tcBorders>
              <w:top w:val="nil"/>
              <w:left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机房监控系统服务</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90</w:t>
            </w:r>
            <w:r>
              <w:rPr>
                <w:rFonts w:hint="eastAsia"/>
                <w:color w:val="000000"/>
                <w:sz w:val="18"/>
                <w:szCs w:val="18"/>
              </w:rPr>
              <w:t>万元</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实际支出</w:t>
            </w:r>
            <w:r>
              <w:rPr>
                <w:rFonts w:hint="eastAsia"/>
                <w:color w:val="000000"/>
                <w:sz w:val="18"/>
                <w:szCs w:val="18"/>
              </w:rPr>
              <w:t>90</w:t>
            </w:r>
            <w:r>
              <w:rPr>
                <w:rFonts w:hint="eastAsia"/>
                <w:color w:val="000000"/>
                <w:sz w:val="18"/>
                <w:szCs w:val="18"/>
              </w:rPr>
              <w:t>万</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781"/>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异常票支出费用</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9.997</w:t>
            </w:r>
            <w:r>
              <w:rPr>
                <w:rFonts w:hint="eastAsia"/>
                <w:color w:val="000000"/>
                <w:sz w:val="18"/>
                <w:szCs w:val="18"/>
              </w:rPr>
              <w:t>万元</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实际支出</w:t>
            </w:r>
            <w:r>
              <w:rPr>
                <w:rFonts w:hint="eastAsia"/>
                <w:color w:val="000000"/>
                <w:sz w:val="18"/>
                <w:szCs w:val="18"/>
              </w:rPr>
              <w:t>3.759994</w:t>
            </w:r>
            <w:r>
              <w:rPr>
                <w:rFonts w:hint="eastAsia"/>
                <w:color w:val="000000"/>
                <w:sz w:val="18"/>
                <w:szCs w:val="18"/>
              </w:rPr>
              <w:t>万元</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901"/>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proofErr w:type="gramStart"/>
            <w:r>
              <w:rPr>
                <w:rFonts w:hint="eastAsia"/>
                <w:color w:val="000000"/>
                <w:sz w:val="18"/>
                <w:szCs w:val="18"/>
              </w:rPr>
              <w:t>设备维保</w:t>
            </w:r>
            <w:proofErr w:type="gramEnd"/>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59.285</w:t>
            </w:r>
            <w:r>
              <w:rPr>
                <w:rFonts w:hint="eastAsia"/>
                <w:color w:val="000000"/>
                <w:sz w:val="18"/>
                <w:szCs w:val="18"/>
              </w:rPr>
              <w:t>万元</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实际支出</w:t>
            </w:r>
            <w:r>
              <w:rPr>
                <w:rFonts w:hint="eastAsia"/>
                <w:color w:val="000000"/>
                <w:sz w:val="18"/>
                <w:szCs w:val="18"/>
              </w:rPr>
              <w:t>52.985</w:t>
            </w:r>
            <w:r>
              <w:rPr>
                <w:rFonts w:hint="eastAsia"/>
                <w:color w:val="000000"/>
                <w:sz w:val="18"/>
                <w:szCs w:val="18"/>
              </w:rPr>
              <w:t>万元</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941"/>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专家劳务费</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2</w:t>
            </w:r>
            <w:r>
              <w:rPr>
                <w:rFonts w:hint="eastAsia"/>
                <w:color w:val="000000"/>
                <w:sz w:val="18"/>
                <w:szCs w:val="18"/>
              </w:rPr>
              <w:t>万元</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实际执行</w:t>
            </w:r>
            <w:r>
              <w:rPr>
                <w:rFonts w:hint="eastAsia"/>
                <w:color w:val="000000"/>
                <w:sz w:val="18"/>
                <w:szCs w:val="18"/>
              </w:rPr>
              <w:t>0.2619</w:t>
            </w:r>
            <w:r>
              <w:rPr>
                <w:rFonts w:hint="eastAsia"/>
                <w:color w:val="000000"/>
                <w:sz w:val="18"/>
                <w:szCs w:val="18"/>
              </w:rPr>
              <w:t>万元</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0.2</w:t>
            </w:r>
          </w:p>
        </w:tc>
        <w:tc>
          <w:tcPr>
            <w:tcW w:w="133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left"/>
              <w:rPr>
                <w:color w:val="000000"/>
                <w:sz w:val="18"/>
                <w:szCs w:val="18"/>
              </w:rPr>
            </w:pPr>
            <w:r>
              <w:rPr>
                <w:rFonts w:hint="eastAsia"/>
                <w:color w:val="000000"/>
                <w:sz w:val="18"/>
                <w:szCs w:val="18"/>
              </w:rPr>
              <w:t>与预算差异较大</w:t>
            </w:r>
            <w:r w:rsidR="00211C42">
              <w:rPr>
                <w:rFonts w:hint="eastAsia"/>
                <w:color w:val="000000"/>
                <w:sz w:val="18"/>
                <w:szCs w:val="18"/>
              </w:rPr>
              <w:t>。</w:t>
            </w:r>
          </w:p>
        </w:tc>
      </w:tr>
      <w:tr w:rsidR="003C4BD5">
        <w:trPr>
          <w:trHeight w:hRule="exact" w:val="747"/>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北京单场系统</w:t>
            </w:r>
            <w:proofErr w:type="gramStart"/>
            <w:r>
              <w:rPr>
                <w:rFonts w:hint="eastAsia"/>
                <w:color w:val="000000"/>
                <w:sz w:val="18"/>
                <w:szCs w:val="18"/>
              </w:rPr>
              <w:t>灾备服务</w:t>
            </w:r>
            <w:proofErr w:type="gramEnd"/>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254.618</w:t>
            </w:r>
            <w:r>
              <w:rPr>
                <w:rFonts w:hint="eastAsia"/>
                <w:color w:val="000000"/>
                <w:sz w:val="18"/>
                <w:szCs w:val="18"/>
              </w:rPr>
              <w:t>万元</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未超预算</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1016"/>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北京单场及游戏系统维护支持服务</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1000</w:t>
            </w:r>
            <w:r>
              <w:rPr>
                <w:rFonts w:hint="eastAsia"/>
                <w:color w:val="000000"/>
                <w:sz w:val="18"/>
                <w:szCs w:val="18"/>
              </w:rPr>
              <w:t>万元</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highlight w:val="yellow"/>
              </w:rPr>
            </w:pPr>
            <w:r>
              <w:rPr>
                <w:rFonts w:hint="eastAsia"/>
                <w:color w:val="000000"/>
                <w:sz w:val="18"/>
                <w:szCs w:val="18"/>
              </w:rPr>
              <w:t>实际支出</w:t>
            </w:r>
            <w:r>
              <w:rPr>
                <w:rFonts w:hint="eastAsia"/>
                <w:color w:val="000000"/>
                <w:sz w:val="18"/>
                <w:szCs w:val="18"/>
              </w:rPr>
              <w:t>808.135227</w:t>
            </w:r>
            <w:r>
              <w:rPr>
                <w:rFonts w:hint="eastAsia"/>
                <w:color w:val="000000"/>
                <w:sz w:val="18"/>
                <w:szCs w:val="18"/>
              </w:rPr>
              <w:t>万</w:t>
            </w:r>
            <w:r>
              <w:rPr>
                <w:rFonts w:hint="eastAsia"/>
                <w:color w:val="000000"/>
                <w:sz w:val="18"/>
                <w:szCs w:val="18"/>
              </w:rPr>
              <w:t>元</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0.8</w:t>
            </w:r>
          </w:p>
        </w:tc>
        <w:tc>
          <w:tcPr>
            <w:tcW w:w="133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left"/>
              <w:rPr>
                <w:color w:val="000000"/>
                <w:sz w:val="18"/>
                <w:szCs w:val="18"/>
              </w:rPr>
            </w:pPr>
            <w:r>
              <w:rPr>
                <w:rFonts w:hint="eastAsia"/>
                <w:color w:val="000000"/>
                <w:sz w:val="18"/>
                <w:szCs w:val="18"/>
              </w:rPr>
              <w:t>实际执行与预算差异较大</w:t>
            </w:r>
            <w:r w:rsidR="00211C42">
              <w:rPr>
                <w:rFonts w:hint="eastAsia"/>
                <w:color w:val="000000"/>
                <w:sz w:val="18"/>
                <w:szCs w:val="18"/>
              </w:rPr>
              <w:t>。</w:t>
            </w:r>
          </w:p>
        </w:tc>
      </w:tr>
      <w:tr w:rsidR="003C4BD5">
        <w:trPr>
          <w:trHeight w:hRule="exact" w:val="1050"/>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val="restart"/>
            <w:tcBorders>
              <w:top w:val="nil"/>
              <w:left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效益</w:t>
            </w:r>
            <w:r>
              <w:rPr>
                <w:rFonts w:ascii="宋体" w:hAnsi="宋体" w:cs="宋体" w:hint="eastAsia"/>
                <w:kern w:val="0"/>
                <w:sz w:val="18"/>
                <w:szCs w:val="18"/>
              </w:rPr>
              <w:t>指标</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3</w:t>
            </w:r>
            <w:r>
              <w:rPr>
                <w:rFonts w:ascii="宋体" w:hAnsi="宋体" w:cs="宋体" w:hint="eastAsia"/>
                <w:kern w:val="0"/>
                <w:sz w:val="18"/>
                <w:szCs w:val="18"/>
              </w:rPr>
              <w:t>0</w:t>
            </w:r>
            <w:r>
              <w:rPr>
                <w:rFonts w:ascii="宋体" w:hAnsi="宋体" w:cs="宋体" w:hint="eastAsia"/>
                <w:kern w:val="0"/>
                <w:sz w:val="18"/>
                <w:szCs w:val="18"/>
              </w:rPr>
              <w:t>分）</w:t>
            </w:r>
          </w:p>
        </w:tc>
        <w:tc>
          <w:tcPr>
            <w:tcW w:w="1089" w:type="dxa"/>
            <w:vMerge w:val="restart"/>
            <w:tcBorders>
              <w:top w:val="nil"/>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保持销售系统，不出现重大安全事故，系统安全稳定运行比率</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90%</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100%</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bookmarkStart w:id="0" w:name="_GoBack"/>
            <w:bookmarkEnd w:id="0"/>
          </w:p>
        </w:tc>
      </w:tr>
      <w:tr w:rsidR="003C4BD5">
        <w:trPr>
          <w:trHeight w:hRule="exact" w:val="1039"/>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nil"/>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保持体育彩票网点销售工作正常运行，系统安全稳定运行比率</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90%</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90%</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10</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511"/>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val="restart"/>
            <w:tcBorders>
              <w:top w:val="nil"/>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维护设备安全稳定运行</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360</w:t>
            </w:r>
            <w:r>
              <w:rPr>
                <w:rFonts w:hint="eastAsia"/>
                <w:color w:val="000000"/>
                <w:sz w:val="18"/>
                <w:szCs w:val="18"/>
              </w:rPr>
              <w:t>天</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365</w:t>
            </w:r>
            <w:r>
              <w:rPr>
                <w:rFonts w:hint="eastAsia"/>
                <w:color w:val="000000"/>
                <w:sz w:val="18"/>
                <w:szCs w:val="18"/>
              </w:rPr>
              <w:t>天</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5</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5</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813"/>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nil"/>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北京单场游戏市场稳定发展，销量保持稳定</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6.5</w:t>
            </w:r>
            <w:r>
              <w:rPr>
                <w:rFonts w:hint="eastAsia"/>
                <w:color w:val="000000"/>
                <w:sz w:val="18"/>
                <w:szCs w:val="18"/>
              </w:rPr>
              <w:t>亿元</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10.8</w:t>
            </w:r>
            <w:r>
              <w:rPr>
                <w:rFonts w:hint="eastAsia"/>
                <w:color w:val="000000"/>
                <w:sz w:val="18"/>
                <w:szCs w:val="18"/>
              </w:rPr>
              <w:t>亿元</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5</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5</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1051"/>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val="restart"/>
            <w:tcBorders>
              <w:top w:val="single" w:sz="4" w:space="0" w:color="auto"/>
              <w:left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10</w:t>
            </w:r>
            <w:r>
              <w:rPr>
                <w:rFonts w:ascii="宋体" w:hAnsi="宋体" w:cs="宋体" w:hint="eastAsia"/>
                <w:kern w:val="0"/>
                <w:sz w:val="18"/>
                <w:szCs w:val="18"/>
              </w:rPr>
              <w:t>分）</w:t>
            </w:r>
          </w:p>
        </w:tc>
        <w:tc>
          <w:tcPr>
            <w:tcW w:w="1089" w:type="dxa"/>
            <w:vMerge w:val="restart"/>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中心工作人员满意率</w:t>
            </w:r>
          </w:p>
        </w:tc>
        <w:tc>
          <w:tcPr>
            <w:tcW w:w="1140"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95%</w:t>
            </w:r>
          </w:p>
        </w:tc>
        <w:tc>
          <w:tcPr>
            <w:tcW w:w="990"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1</w:t>
            </w:r>
            <w:r>
              <w:rPr>
                <w:color w:val="000000"/>
                <w:sz w:val="18"/>
                <w:szCs w:val="18"/>
              </w:rPr>
              <w:t>00%</w:t>
            </w:r>
          </w:p>
        </w:tc>
        <w:tc>
          <w:tcPr>
            <w:tcW w:w="527" w:type="dxa"/>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5</w:t>
            </w:r>
          </w:p>
        </w:tc>
        <w:tc>
          <w:tcPr>
            <w:tcW w:w="633"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5</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703"/>
          <w:jc w:val="center"/>
        </w:trPr>
        <w:tc>
          <w:tcPr>
            <w:tcW w:w="578"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966" w:type="dxa"/>
            <w:vMerge/>
            <w:tcBorders>
              <w:left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089" w:type="dxa"/>
            <w:vMerge/>
            <w:tcBorders>
              <w:top w:val="nil"/>
              <w:left w:val="single" w:sz="4" w:space="0" w:color="auto"/>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c>
          <w:tcPr>
            <w:tcW w:w="1811" w:type="dxa"/>
            <w:gridSpan w:val="2"/>
            <w:tcBorders>
              <w:top w:val="single" w:sz="4" w:space="0" w:color="auto"/>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销售网点人员</w:t>
            </w:r>
          </w:p>
        </w:tc>
        <w:tc>
          <w:tcPr>
            <w:tcW w:w="114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w:t>
            </w:r>
            <w:r>
              <w:rPr>
                <w:rFonts w:hint="eastAsia"/>
                <w:color w:val="000000"/>
                <w:sz w:val="18"/>
                <w:szCs w:val="18"/>
              </w:rPr>
              <w:t>85%</w:t>
            </w:r>
          </w:p>
        </w:tc>
        <w:tc>
          <w:tcPr>
            <w:tcW w:w="990"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rFonts w:hint="eastAsia"/>
                <w:color w:val="000000"/>
                <w:sz w:val="18"/>
                <w:szCs w:val="18"/>
              </w:rPr>
              <w:t>9</w:t>
            </w:r>
            <w:r>
              <w:rPr>
                <w:color w:val="000000"/>
                <w:sz w:val="18"/>
                <w:szCs w:val="18"/>
              </w:rPr>
              <w:t>7.7%</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5</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color w:val="000000"/>
                <w:sz w:val="18"/>
                <w:szCs w:val="18"/>
              </w:rPr>
            </w:pPr>
            <w:r>
              <w:rPr>
                <w:color w:val="000000"/>
                <w:sz w:val="18"/>
                <w:szCs w:val="18"/>
              </w:rPr>
              <w:t>5</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color w:val="000000"/>
                <w:sz w:val="18"/>
                <w:szCs w:val="18"/>
              </w:rPr>
            </w:pPr>
          </w:p>
        </w:tc>
      </w:tr>
      <w:tr w:rsidR="003C4BD5">
        <w:trPr>
          <w:trHeight w:hRule="exact" w:val="681"/>
          <w:jc w:val="center"/>
        </w:trPr>
        <w:tc>
          <w:tcPr>
            <w:tcW w:w="6574" w:type="dxa"/>
            <w:gridSpan w:val="7"/>
            <w:tcBorders>
              <w:top w:val="single" w:sz="4" w:space="0" w:color="auto"/>
              <w:left w:val="single" w:sz="4" w:space="0" w:color="auto"/>
              <w:bottom w:val="single" w:sz="4" w:space="0" w:color="auto"/>
              <w:right w:val="single" w:sz="4" w:space="0" w:color="auto"/>
            </w:tcBorders>
            <w:vAlign w:val="center"/>
          </w:tcPr>
          <w:p w:rsidR="003C4BD5" w:rsidRDefault="000E502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27" w:type="dxa"/>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633" w:type="dxa"/>
            <w:gridSpan w:val="2"/>
            <w:tcBorders>
              <w:top w:val="nil"/>
              <w:left w:val="nil"/>
              <w:bottom w:val="single" w:sz="4" w:space="0" w:color="auto"/>
              <w:right w:val="single" w:sz="4" w:space="0" w:color="auto"/>
            </w:tcBorders>
            <w:vAlign w:val="center"/>
          </w:tcPr>
          <w:p w:rsidR="003C4BD5" w:rsidRDefault="000E502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97.9</w:t>
            </w:r>
          </w:p>
        </w:tc>
        <w:tc>
          <w:tcPr>
            <w:tcW w:w="1331" w:type="dxa"/>
            <w:gridSpan w:val="2"/>
            <w:tcBorders>
              <w:top w:val="single" w:sz="4" w:space="0" w:color="auto"/>
              <w:left w:val="nil"/>
              <w:bottom w:val="single" w:sz="4" w:space="0" w:color="auto"/>
              <w:right w:val="single" w:sz="4" w:space="0" w:color="auto"/>
            </w:tcBorders>
            <w:vAlign w:val="center"/>
          </w:tcPr>
          <w:p w:rsidR="003C4BD5" w:rsidRDefault="003C4BD5">
            <w:pPr>
              <w:widowControl/>
              <w:spacing w:line="240" w:lineRule="exact"/>
              <w:jc w:val="center"/>
              <w:rPr>
                <w:rFonts w:ascii="宋体" w:hAnsi="宋体" w:cs="宋体"/>
                <w:kern w:val="0"/>
                <w:sz w:val="18"/>
                <w:szCs w:val="18"/>
              </w:rPr>
            </w:pPr>
          </w:p>
        </w:tc>
      </w:tr>
    </w:tbl>
    <w:p w:rsidR="003C4BD5" w:rsidRDefault="003C4BD5"/>
    <w:sectPr w:rsidR="003C4B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02B" w:rsidRDefault="000E502B" w:rsidP="00211C42">
      <w:r>
        <w:separator/>
      </w:r>
    </w:p>
  </w:endnote>
  <w:endnote w:type="continuationSeparator" w:id="0">
    <w:p w:rsidR="000E502B" w:rsidRDefault="000E502B" w:rsidP="0021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02B" w:rsidRDefault="000E502B" w:rsidP="00211C42">
      <w:r>
        <w:separator/>
      </w:r>
    </w:p>
  </w:footnote>
  <w:footnote w:type="continuationSeparator" w:id="0">
    <w:p w:rsidR="000E502B" w:rsidRDefault="000E502B" w:rsidP="00211C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7FB499"/>
    <w:multiLevelType w:val="singleLevel"/>
    <w:tmpl w:val="D67FB49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zNDQwMjQ4YzdhYzllOWUwYWFiYWRhNGMwZWIzNGYifQ=="/>
  </w:docVars>
  <w:rsids>
    <w:rsidRoot w:val="78112733"/>
    <w:rsid w:val="0006032D"/>
    <w:rsid w:val="000C4D20"/>
    <w:rsid w:val="000E502B"/>
    <w:rsid w:val="000E6BF4"/>
    <w:rsid w:val="001A225D"/>
    <w:rsid w:val="00211C42"/>
    <w:rsid w:val="00291E94"/>
    <w:rsid w:val="003C4BD5"/>
    <w:rsid w:val="0045722B"/>
    <w:rsid w:val="006B1D4A"/>
    <w:rsid w:val="006E1364"/>
    <w:rsid w:val="007249A2"/>
    <w:rsid w:val="007B1432"/>
    <w:rsid w:val="008D78B1"/>
    <w:rsid w:val="009302D6"/>
    <w:rsid w:val="009342D2"/>
    <w:rsid w:val="00BE5672"/>
    <w:rsid w:val="00C45AB1"/>
    <w:rsid w:val="00C63424"/>
    <w:rsid w:val="00D11B2E"/>
    <w:rsid w:val="00D15D8F"/>
    <w:rsid w:val="00DC6F85"/>
    <w:rsid w:val="058218B8"/>
    <w:rsid w:val="063A1FAE"/>
    <w:rsid w:val="0A8F529B"/>
    <w:rsid w:val="19B23640"/>
    <w:rsid w:val="1D6E17A5"/>
    <w:rsid w:val="1DDF746A"/>
    <w:rsid w:val="1F5367A6"/>
    <w:rsid w:val="1F6657F0"/>
    <w:rsid w:val="1F9C01BD"/>
    <w:rsid w:val="2368077B"/>
    <w:rsid w:val="249433E5"/>
    <w:rsid w:val="24950543"/>
    <w:rsid w:val="250057E6"/>
    <w:rsid w:val="2A3058DE"/>
    <w:rsid w:val="2D285FD5"/>
    <w:rsid w:val="2FD933F6"/>
    <w:rsid w:val="310D2456"/>
    <w:rsid w:val="3360284C"/>
    <w:rsid w:val="345D31D5"/>
    <w:rsid w:val="361A2073"/>
    <w:rsid w:val="37272C99"/>
    <w:rsid w:val="3DCA34B2"/>
    <w:rsid w:val="3DFD0601"/>
    <w:rsid w:val="3E911E8D"/>
    <w:rsid w:val="3EF36562"/>
    <w:rsid w:val="3F41365F"/>
    <w:rsid w:val="45C50849"/>
    <w:rsid w:val="4679014C"/>
    <w:rsid w:val="48D350DE"/>
    <w:rsid w:val="4A770517"/>
    <w:rsid w:val="4B6E0A3F"/>
    <w:rsid w:val="4BFC604B"/>
    <w:rsid w:val="4DCB3F26"/>
    <w:rsid w:val="4EEE3186"/>
    <w:rsid w:val="50817168"/>
    <w:rsid w:val="50A8243C"/>
    <w:rsid w:val="51391933"/>
    <w:rsid w:val="542744A2"/>
    <w:rsid w:val="569752EE"/>
    <w:rsid w:val="585E525D"/>
    <w:rsid w:val="5B305D11"/>
    <w:rsid w:val="60822ABB"/>
    <w:rsid w:val="640E5F43"/>
    <w:rsid w:val="65D61F4D"/>
    <w:rsid w:val="66073D0A"/>
    <w:rsid w:val="67696832"/>
    <w:rsid w:val="681C5653"/>
    <w:rsid w:val="6A2A3ACE"/>
    <w:rsid w:val="6B6757F2"/>
    <w:rsid w:val="6F7F2187"/>
    <w:rsid w:val="726F2459"/>
    <w:rsid w:val="75504B8E"/>
    <w:rsid w:val="78112733"/>
    <w:rsid w:val="7B7D3315"/>
    <w:rsid w:val="7CBC0D5A"/>
    <w:rsid w:val="7F451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rFonts w:ascii="Times New Roman" w:eastAsia="宋体" w:hAnsi="Times New Roman" w:cs="Times New Roman"/>
      <w:kern w:val="2"/>
      <w:sz w:val="18"/>
      <w:szCs w:val="18"/>
    </w:rPr>
  </w:style>
  <w:style w:type="character" w:customStyle="1" w:styleId="Char">
    <w:name w:val="页脚 Char"/>
    <w:basedOn w:val="a0"/>
    <w:link w:val="a3"/>
    <w:qFormat/>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rFonts w:ascii="Times New Roman" w:eastAsia="宋体" w:hAnsi="Times New Roman" w:cs="Times New Roman"/>
      <w:kern w:val="2"/>
      <w:sz w:val="18"/>
      <w:szCs w:val="18"/>
    </w:rPr>
  </w:style>
  <w:style w:type="character" w:customStyle="1" w:styleId="Char">
    <w:name w:val="页脚 Char"/>
    <w:basedOn w:val="a0"/>
    <w:link w:val="a3"/>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290</Words>
  <Characters>1659</Characters>
  <Application>Microsoft Office Word</Application>
  <DocSecurity>0</DocSecurity>
  <Lines>13</Lines>
  <Paragraphs>3</Paragraphs>
  <ScaleCrop>false</ScaleCrop>
  <Company>Lenovo</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阳阳</dc:creator>
  <cp:lastModifiedBy>lenovo</cp:lastModifiedBy>
  <cp:revision>7</cp:revision>
  <dcterms:created xsi:type="dcterms:W3CDTF">2023-04-26T09:15:00Z</dcterms:created>
  <dcterms:modified xsi:type="dcterms:W3CDTF">2023-06-07T09:24:00Z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5164B6698DC54662B8AE4F2358FF5AF0_13</vt:lpwstr>
  </property>
</Properties>
</file>